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ACDA" w14:textId="741DDD60" w:rsidR="00B42C0F" w:rsidRPr="00DD75B9" w:rsidRDefault="00B42C0F" w:rsidP="00BC74CF">
      <w:pPr>
        <w:pStyle w:val="NormalnyWeb"/>
        <w:ind w:left="6237"/>
        <w:rPr>
          <w:rFonts w:ascii="Arial" w:hAnsi="Arial" w:cs="Arial"/>
          <w:color w:val="000000"/>
          <w:sz w:val="20"/>
          <w:szCs w:val="20"/>
        </w:rPr>
      </w:pPr>
      <w:r w:rsidRPr="00DD75B9">
        <w:rPr>
          <w:rFonts w:ascii="Arial" w:hAnsi="Arial" w:cs="Arial"/>
          <w:color w:val="000000"/>
          <w:sz w:val="20"/>
          <w:szCs w:val="20"/>
        </w:rPr>
        <w:t>Załącznik                                                                                                                                                                                                                                                      do uchwały Nr.…/….2025                                                                                                   Rady Powiatu w Lublinie                                                                                                                      z dnia…</w:t>
      </w:r>
      <w:r w:rsidR="00720ECF">
        <w:rPr>
          <w:rFonts w:ascii="Arial" w:hAnsi="Arial" w:cs="Arial"/>
          <w:color w:val="000000"/>
          <w:sz w:val="20"/>
          <w:szCs w:val="20"/>
        </w:rPr>
        <w:t>….listopada 2025 r.</w:t>
      </w:r>
    </w:p>
    <w:p w14:paraId="4F45F1A1" w14:textId="1D9CEDC9" w:rsidR="00B42C0F" w:rsidRPr="00DD75B9" w:rsidRDefault="00B42C0F" w:rsidP="00B42C0F">
      <w:pPr>
        <w:pStyle w:val="NormalnyWeb"/>
        <w:spacing w:line="360" w:lineRule="auto"/>
        <w:jc w:val="center"/>
        <w:rPr>
          <w:rFonts w:ascii="Arial" w:hAnsi="Arial" w:cs="Arial"/>
          <w:b/>
          <w:bCs/>
          <w:color w:val="000000"/>
          <w:sz w:val="22"/>
          <w:szCs w:val="22"/>
        </w:rPr>
      </w:pPr>
      <w:r w:rsidRPr="00DD75B9">
        <w:rPr>
          <w:rFonts w:ascii="Arial" w:hAnsi="Arial" w:cs="Arial"/>
          <w:b/>
          <w:bCs/>
          <w:color w:val="000000"/>
          <w:sz w:val="22"/>
          <w:szCs w:val="22"/>
        </w:rPr>
        <w:t>Uzasadnienie</w:t>
      </w:r>
    </w:p>
    <w:p w14:paraId="76CA5CE8" w14:textId="4169DA04" w:rsidR="00116435" w:rsidRPr="00DD75B9" w:rsidRDefault="00116435" w:rsidP="00B42C0F">
      <w:pPr>
        <w:pStyle w:val="NormalnyWeb"/>
        <w:spacing w:line="360" w:lineRule="auto"/>
        <w:jc w:val="center"/>
        <w:rPr>
          <w:rFonts w:ascii="Arial" w:hAnsi="Arial" w:cs="Arial"/>
          <w:b/>
          <w:bCs/>
          <w:color w:val="000000"/>
          <w:sz w:val="22"/>
          <w:szCs w:val="22"/>
        </w:rPr>
      </w:pPr>
      <w:r w:rsidRPr="00DD75B9">
        <w:rPr>
          <w:rFonts w:ascii="Arial" w:hAnsi="Arial" w:cs="Arial"/>
          <w:b/>
          <w:bCs/>
          <w:color w:val="000000"/>
          <w:sz w:val="22"/>
          <w:szCs w:val="22"/>
        </w:rPr>
        <w:t>Stanowisko Rady Powiatu w Lublinie w sprawie rozpatrzenia skargi na działania Starosty w sprawie reorganizacji zatrudnienia koordynatorów pieczy zastępczej</w:t>
      </w:r>
      <w:r w:rsidR="002B606B" w:rsidRPr="00DD75B9">
        <w:rPr>
          <w:rFonts w:ascii="Arial" w:hAnsi="Arial" w:cs="Arial"/>
          <w:b/>
          <w:bCs/>
          <w:color w:val="000000"/>
          <w:sz w:val="22"/>
          <w:szCs w:val="22"/>
        </w:rPr>
        <w:t xml:space="preserve"> </w:t>
      </w:r>
    </w:p>
    <w:p w14:paraId="34A59C6A" w14:textId="33D44357" w:rsidR="003F3AA1" w:rsidRPr="00DD75B9" w:rsidRDefault="00B42C0F"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 xml:space="preserve">         </w:t>
      </w:r>
      <w:r w:rsidR="00A41EEE" w:rsidRPr="00DD75B9">
        <w:rPr>
          <w:rFonts w:ascii="Arial" w:hAnsi="Arial" w:cs="Arial"/>
          <w:color w:val="000000"/>
          <w:sz w:val="22"/>
          <w:szCs w:val="22"/>
        </w:rPr>
        <w:t>W dniu 15.10. 2025 r</w:t>
      </w:r>
      <w:r w:rsidR="00CF6EEE" w:rsidRPr="00DD75B9">
        <w:rPr>
          <w:rFonts w:ascii="Arial" w:hAnsi="Arial" w:cs="Arial"/>
          <w:color w:val="000000"/>
          <w:sz w:val="22"/>
          <w:szCs w:val="22"/>
        </w:rPr>
        <w:t>oku</w:t>
      </w:r>
      <w:r w:rsidR="00A41EEE" w:rsidRPr="00DD75B9">
        <w:rPr>
          <w:rFonts w:ascii="Arial" w:hAnsi="Arial" w:cs="Arial"/>
          <w:color w:val="000000"/>
          <w:sz w:val="22"/>
          <w:szCs w:val="22"/>
        </w:rPr>
        <w:t xml:space="preserve"> do</w:t>
      </w:r>
      <w:r w:rsidR="00CF6EEE" w:rsidRPr="00DD75B9">
        <w:rPr>
          <w:rFonts w:ascii="Arial" w:hAnsi="Arial" w:cs="Arial"/>
          <w:color w:val="000000"/>
          <w:sz w:val="22"/>
          <w:szCs w:val="22"/>
        </w:rPr>
        <w:t xml:space="preserve"> Starostwa Powiatowego w Lublinie</w:t>
      </w:r>
      <w:r w:rsidR="003F3AA1" w:rsidRPr="00DD75B9">
        <w:rPr>
          <w:rFonts w:ascii="Arial" w:hAnsi="Arial" w:cs="Arial"/>
          <w:color w:val="000000"/>
          <w:sz w:val="22"/>
          <w:szCs w:val="22"/>
        </w:rPr>
        <w:t xml:space="preserve"> wpłynęło pismo rodzin zastępczych zawierające skargę na działania Starosty Powiatu Lubelskiego w zakresie planowanej reorganizacji zatrudnienia koordynatorów rodzinnej pieczy zastępczej funkcjonujących przy Powiatowym Centrum Pomocy Rodzinie w Lublinie. W piśmie tym rodziny zastępcze wskazały, iż zwracają się do Rady Powiatu jako osoby, które na co dzień ponoszą ciężar odpowiedzialności za wychowanie dzieci pozbawionych opieki rodziców biologicznych. Podkreśliły, że decyzja o proponowanych zmianach kadrowych wywołuje wśród nich głęboki niepokój, gdyż w ich ocenie godzi zarówno w stabilność funkcjonowania rodzin zastępczych, jak i w dobro dzieci, które w nowym środowisku odnalazły poczucie bezpieczeństwa i zaufania. Autorzy skargi przedstawili rolę koordynatorów jako kluczową dla funkcjonowania systemu pieczy, akcentując, że osoby te pełnią nie tylko funkcję administracyjną, lecz w wielu przypadkach stają się niezbędnym wsparciem emocjonalnym i organizacyjnym. Zwrócili uwagę, że koordynatorzy towarzyszą rodzinom w najtrudniejszych sytuacjach, często poza standardowymi godzinami pracy, uczestniczą w postępowaniach sądowych, wspierają je w kontaktach ze szkołami, poradniami i innymi instytucjami, a ich nagłe odsunięcie z przyczyn finansowych mogłoby wywołać poważne negatywne konsekwencje, zwłaszcza dla dzieci.</w:t>
      </w:r>
    </w:p>
    <w:p w14:paraId="506E5ED5" w14:textId="4F155966" w:rsidR="003F3AA1" w:rsidRPr="00DD75B9" w:rsidRDefault="003F3AA1" w:rsidP="003F3AA1">
      <w:pPr>
        <w:pStyle w:val="NormalnyWeb"/>
        <w:spacing w:line="360" w:lineRule="auto"/>
        <w:jc w:val="both"/>
        <w:rPr>
          <w:rFonts w:ascii="Arial" w:hAnsi="Arial" w:cs="Arial"/>
          <w:color w:val="EE0000"/>
          <w:sz w:val="22"/>
          <w:szCs w:val="22"/>
        </w:rPr>
      </w:pPr>
      <w:r w:rsidRPr="00DD75B9">
        <w:rPr>
          <w:rFonts w:ascii="Arial" w:hAnsi="Arial" w:cs="Arial"/>
          <w:color w:val="000000"/>
          <w:sz w:val="22"/>
          <w:szCs w:val="22"/>
        </w:rPr>
        <w:t>Po otrzymaniu skargi Komisja zwróciła się do Dyrekto</w:t>
      </w:r>
      <w:r w:rsidR="00101E1E" w:rsidRPr="00DD75B9">
        <w:rPr>
          <w:rFonts w:ascii="Arial" w:hAnsi="Arial" w:cs="Arial"/>
          <w:color w:val="000000"/>
          <w:sz w:val="22"/>
          <w:szCs w:val="22"/>
        </w:rPr>
        <w:t>r</w:t>
      </w:r>
      <w:r w:rsidRPr="00DD75B9">
        <w:rPr>
          <w:rFonts w:ascii="Arial" w:hAnsi="Arial" w:cs="Arial"/>
          <w:color w:val="000000"/>
          <w:sz w:val="22"/>
          <w:szCs w:val="22"/>
        </w:rPr>
        <w:t xml:space="preserve"> Powiatowego Centrum Pomocy Rodzinie w Lublinie, Pani Henryki Strojnowskiej, z prośbą o udzielenie wyczerpującej informacji dotyczącej planowanych zmian, ich prawnego i organizacyjnego uzasadnienia oraz przewidywanego wpływu na wykonywanie zadań przez koordynatorów rodzinnej pieczy zastępczej. </w:t>
      </w:r>
    </w:p>
    <w:p w14:paraId="3538E06E" w14:textId="20851745"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 xml:space="preserve">W dniu 18 listopada 2025 roku odbyło się posiedzenie Komisji Skarg, Wniosków i Petycji, w którym uczestniczyli jej członkowie, przedstawiciele rodzin zastępczych, </w:t>
      </w:r>
      <w:r w:rsidR="008A3821" w:rsidRPr="00DD75B9">
        <w:rPr>
          <w:rFonts w:ascii="Arial" w:hAnsi="Arial" w:cs="Arial"/>
          <w:color w:val="000000"/>
          <w:sz w:val="22"/>
          <w:szCs w:val="22"/>
        </w:rPr>
        <w:t>dyrektor</w:t>
      </w:r>
      <w:r w:rsidRPr="00DD75B9">
        <w:rPr>
          <w:rFonts w:ascii="Arial" w:hAnsi="Arial" w:cs="Arial"/>
          <w:color w:val="000000"/>
          <w:sz w:val="22"/>
          <w:szCs w:val="22"/>
        </w:rPr>
        <w:t xml:space="preserve"> PCPR Henryka Strojnowska oraz radca prawny</w:t>
      </w:r>
      <w:r w:rsidR="00A41EEE" w:rsidRPr="00DD75B9">
        <w:rPr>
          <w:rFonts w:ascii="Arial" w:hAnsi="Arial" w:cs="Arial"/>
          <w:color w:val="000000"/>
          <w:sz w:val="22"/>
          <w:szCs w:val="22"/>
        </w:rPr>
        <w:t xml:space="preserve"> Pan Tomasz Barszcz.</w:t>
      </w:r>
      <w:r w:rsidRPr="00DD75B9">
        <w:rPr>
          <w:rFonts w:ascii="Arial" w:hAnsi="Arial" w:cs="Arial"/>
          <w:color w:val="000000"/>
          <w:sz w:val="22"/>
          <w:szCs w:val="22"/>
        </w:rPr>
        <w:t xml:space="preserve"> Podczas posiedzenia rodziny zastępcze przedstawiły swoje stanowisko, zwracając szczególną uwagę na fundamentalną rolę koordynatorek w codziennym funkcjonowaniu rodzin. Wskazały, że koordynatorzy od lat pełnią stałą funkcję wspierającą i doradczą, są osobami znanymi dzieciom, znającymi historię </w:t>
      </w:r>
      <w:r w:rsidRPr="00DD75B9">
        <w:rPr>
          <w:rFonts w:ascii="Arial" w:hAnsi="Arial" w:cs="Arial"/>
          <w:color w:val="000000"/>
          <w:sz w:val="22"/>
          <w:szCs w:val="22"/>
        </w:rPr>
        <w:lastRenderedPageBreak/>
        <w:t>i potrzeby każdej z rodzin, a jakakolwiek zmiana ich statusu lub zastąpienie ich nowymi osobami mogłoby wywołać destabilizację i poczucie zagrożenia u podopiecznych. Rodziny podkreślały swoje realne obawy związane z planowanymi zmianami organizacyjnymi, w tym przede wszystkim z ryzykiem utraty dotychczasowych koordynatorek oraz brakiem gwarancji, że nowy model zatrudnienia zapewni odpowiednią jakość i ciągłość wsparcia.</w:t>
      </w:r>
    </w:p>
    <w:p w14:paraId="6206A7A3" w14:textId="539E3E56"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 xml:space="preserve">W toku posiedzenia </w:t>
      </w:r>
      <w:r w:rsidR="008A3821" w:rsidRPr="00DD75B9">
        <w:rPr>
          <w:rFonts w:ascii="Arial" w:hAnsi="Arial" w:cs="Arial"/>
          <w:color w:val="000000"/>
          <w:sz w:val="22"/>
          <w:szCs w:val="22"/>
        </w:rPr>
        <w:t>dyrektor</w:t>
      </w:r>
      <w:r w:rsidRPr="00DD75B9">
        <w:rPr>
          <w:rFonts w:ascii="Arial" w:hAnsi="Arial" w:cs="Arial"/>
          <w:color w:val="000000"/>
          <w:sz w:val="22"/>
          <w:szCs w:val="22"/>
        </w:rPr>
        <w:t xml:space="preserve"> PCPR przedstawiała jedynie lakoniczne odpowiedzi, które nie wyjaśniały istoty planowanej reorganizacji ani jej podstaw prawnych. Przekazała ona, że zmiany wynikają rzekomo z wyraźnej prośby ze strony samych koordynatorek, jednakże nie potrafiła wykazać tego ani dokumentem, ani konkretną relacją. </w:t>
      </w:r>
    </w:p>
    <w:p w14:paraId="345A0397" w14:textId="5369963E" w:rsidR="003F3AA1" w:rsidRPr="00DD75B9" w:rsidRDefault="003F3AA1" w:rsidP="003F3AA1">
      <w:pPr>
        <w:pStyle w:val="NormalnyWeb"/>
        <w:spacing w:line="360" w:lineRule="auto"/>
        <w:jc w:val="both"/>
        <w:rPr>
          <w:rFonts w:ascii="Arial" w:hAnsi="Arial" w:cs="Arial"/>
          <w:color w:val="EE0000"/>
          <w:sz w:val="22"/>
          <w:szCs w:val="22"/>
        </w:rPr>
      </w:pPr>
      <w:r w:rsidRPr="00DD75B9">
        <w:rPr>
          <w:rFonts w:ascii="Arial" w:hAnsi="Arial" w:cs="Arial"/>
          <w:color w:val="000000"/>
          <w:sz w:val="22"/>
          <w:szCs w:val="22"/>
        </w:rPr>
        <w:t>W związku z powyższym w dniu</w:t>
      </w:r>
      <w:r w:rsidR="00A41EEE" w:rsidRPr="00DD75B9">
        <w:rPr>
          <w:rFonts w:ascii="Arial" w:hAnsi="Arial" w:cs="Arial"/>
          <w:color w:val="000000"/>
          <w:sz w:val="22"/>
          <w:szCs w:val="22"/>
        </w:rPr>
        <w:t xml:space="preserve"> 18 listopada 2025 r.</w:t>
      </w:r>
      <w:r w:rsidRPr="00DD75B9">
        <w:rPr>
          <w:rFonts w:ascii="Arial" w:hAnsi="Arial" w:cs="Arial"/>
          <w:color w:val="EE0000"/>
          <w:sz w:val="22"/>
          <w:szCs w:val="22"/>
        </w:rPr>
        <w:t xml:space="preserve"> </w:t>
      </w:r>
      <w:r w:rsidRPr="00DD75B9">
        <w:rPr>
          <w:rFonts w:ascii="Arial" w:hAnsi="Arial" w:cs="Arial"/>
          <w:color w:val="000000"/>
          <w:sz w:val="22"/>
          <w:szCs w:val="22"/>
        </w:rPr>
        <w:t xml:space="preserve">Komisja zwróciła się bezpośrednio do koordynatorek PCPR o przedstawienie ich stanowiska w sprawie planowanych zmian. W odpowiedzi koordynatorki jednoznacznie oświadczyły, że nigdy nie zwracały się do Dyrekcji PCPR z wnioskiem o zmianę swojej formy zatrudnienia ani nie proponowały rozwiązań prowadzących do zastąpienia umowy o pracę umową zlecenia. Podkreśliły, że dotychczasowy wymiar zatrudnienia w wysokości 1/2 etatu umożliwiał im właściwe wykonywanie obowiązków zawodowych, a jednocześnie pozwalał na zachowanie elastyczności koniecznej do dostosowania godzin pracy do realnych potrzeb rodzin i dzieci umieszczonych w pieczy. Wyjaśniły, że w obecnym modelu każda z koordynatorek sprawuje opiekę nad około dwunastoma rodzinami zastępczymi, przy czym praca w pełnym wymiarze czasu pracy przewiduje opiekę nad piętnastoma rodzinami, </w:t>
      </w:r>
      <w:r w:rsidRPr="00DD75B9">
        <w:rPr>
          <w:rFonts w:ascii="Arial" w:hAnsi="Arial" w:cs="Arial"/>
          <w:sz w:val="22"/>
          <w:szCs w:val="22"/>
        </w:rPr>
        <w:t xml:space="preserve">co wydaje się nie stanowić znaczącej różnicy. </w:t>
      </w:r>
    </w:p>
    <w:p w14:paraId="02F6BA49"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Koordynatorki poinformowały również, że zawarcie umów cywilnoprawnych znacząco pogorszyłoby ich sytuację zawodową, pozbawiając je podstawowych uprawnień pracowniczych, takich jak prawo do płatnego urlopu wypoczynkowego, ochrona w okresie choroby, ubezpieczenie chorobowe i wypadkowe, prawo do urlopu na żądanie czy ochrona przed zwolnieniem na zasadach wynikających z Kodeksu pracy. Podkreśliły, że umowa zlecenia nie zapewnia im bezpieczeństwa socjalnego, nie umożliwia pełnej dyspozycyjności niezbędnej w sytuacjach kryzysowych oraz nie gwarantuje stabilności zatrudnienia, tak kluczowej dla ciągłości opieki nad rodzinami i dziećmi.</w:t>
      </w:r>
    </w:p>
    <w:p w14:paraId="4E553565"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 xml:space="preserve">W swojej odpowiedzi koordynatorki wskazały także, że zakres obowiązków, jaki miałby zostać im powierzony w ramach umów zlecenia, w pełni pokrywa się z obowiązkami wykonywanymi dotychczas na podstawie umowy o pracę w wymiarze 1/2 etatu. W praktyce prowadziłoby to do obejścia przepisów o stosunku pracy, co pozostaje w rażącej sprzeczności z aktualnym stanowiskiem ustawodawcy oraz z nadchodzącymi zmianami w prawie pracy zaplanowanymi </w:t>
      </w:r>
      <w:r w:rsidRPr="00DD75B9">
        <w:rPr>
          <w:rFonts w:ascii="Arial" w:hAnsi="Arial" w:cs="Arial"/>
          <w:color w:val="000000"/>
          <w:sz w:val="22"/>
          <w:szCs w:val="22"/>
        </w:rPr>
        <w:lastRenderedPageBreak/>
        <w:t>na rok 2025, które zmierzają do dalszego ograniczenia nadużywania umów cywilnoprawnych w sytuacjach wykonywania pracy o charakterze pracowniczym.</w:t>
      </w:r>
    </w:p>
    <w:p w14:paraId="35EE4A59"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 xml:space="preserve">Treść pisma koordynatorek oraz relacja rodzin zastępczych dowodzą, że planowana reorganizacja była przygotowywana bez ich udziału, bez konsultacji oraz bez analizy rzeczywistych potrzeb środowiska pieczy zastępczej. Komisja uznała, że powyższe okoliczności wskazują na istotne uchybienia proceduralne oraz brak rzetelności w przygotowaniu zmian, które dotyczą obszaru wrażliwego społecznie i wymagają szczególnej rozwagi oraz transparentności. Komisja Skarg, Wniosków i Petycji, dokonując analizy przedstawionej skargi rodzin zastępczych oraz pisma koordynatorek rodzinnej pieczy zastępczej, stwierdza, że planowane działania reorganizacyjne w Powiatowym Centrum Pomocy Rodzinie – obejmujące likwidację siedmiu półetatowych stanowisk </w:t>
      </w:r>
      <w:r w:rsidRPr="00DD75B9">
        <w:rPr>
          <w:rFonts w:ascii="Arial" w:hAnsi="Arial" w:cs="Arial"/>
          <w:sz w:val="22"/>
          <w:szCs w:val="22"/>
        </w:rPr>
        <w:t xml:space="preserve">oraz ich zastąpienie pełnymi etatami  lub umowami cywilnoprawnymi – </w:t>
      </w:r>
      <w:r w:rsidRPr="00DD75B9">
        <w:rPr>
          <w:rFonts w:ascii="Arial" w:hAnsi="Arial" w:cs="Arial"/>
          <w:color w:val="000000"/>
          <w:sz w:val="22"/>
          <w:szCs w:val="22"/>
        </w:rPr>
        <w:t>zostały przygotowane bez zachowania standardów wynikających z zasad prawidłowej administracji, bez przeprowadzenia należytych konsultacji oraz w sposób nieodpowiadający ustawowym uwarunkowaniom pracy koordynatora pieczy zastępczej. Komisja uznała zatem, że skarga jest w pełni uzasadniona, zarówno w świetle przepisów prawa pracy, jak i norm regulujących system pieczy zastępczej oraz całokształtu dorobku orzeczniczego i doktrynalnego dotyczącego dopuszczalności stosowania umów cywilnoprawnych w sytuacjach, w których praca nosi znamiona stosunku pracy.</w:t>
      </w:r>
    </w:p>
    <w:p w14:paraId="11A6FCF8"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Należy podkreślić, że zgodnie z art. 76a ustawy o wspieraniu rodziny i systemie pieczy zastępczej, praca koordynatora ma charakter zadaniowy, ciągły i obciążony szczególną odpowiedzialnością. Koordynator wykonuje czynności wymagające nie tylko kwalifikacji i doświadczenia, lecz także wysokiej dyspozycyjności, stałego kontaktu z rodzinami zastępczymi, reagowania na sytuacje nagłe, uczestnictwa w posiedzeniach zespołów roboczych, sądów rodzinnych i instytucji pomocy społecznej. Praca ta, z natury swej funkcji, jest nieodłącznie związana z podporządkowaniem organizacyjnym i merytorycznym podmiotowi zatrudniającemu, odbywa się w ramach ustalonych procedur i wymaga wykonywania poleceń służbowych oraz przestrzegania terminów, a także ponoszenia odpowiedzialności za prawidłowe realizowanie ustawowych obowiązków powiatu względem rodzin zastępczych i dzieci.</w:t>
      </w:r>
    </w:p>
    <w:p w14:paraId="4E437841"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 xml:space="preserve">W świetle powyższych okoliczności praca koordynatora stanowi klasyczny przykład zatrudnienia, o którym mowa w art. 22 § 1 Kodeksu pracy, zgodnie z którym nawiązanie stosunku pracy polega na zobowiązaniu pracownika do osobistego wykonywania pracy określonego rodzaju na rzecz pracodawcy i pod jego kierownictwem, w miejscu i czasie wyznaczonym przez pracodawcę, a po stronie pracodawcy na obowiązku zatrudniania </w:t>
      </w:r>
      <w:r w:rsidRPr="00DD75B9">
        <w:rPr>
          <w:rFonts w:ascii="Arial" w:hAnsi="Arial" w:cs="Arial"/>
          <w:color w:val="000000"/>
          <w:sz w:val="22"/>
          <w:szCs w:val="22"/>
        </w:rPr>
        <w:lastRenderedPageBreak/>
        <w:t>pracownika za wynagrodzeniem. Warto wskazać, że ustawodawca, wprowadzając do art. 22 § 1² Kodeksu pracy wyraźny zakaz zastępowania umów o pracę umowami cywilnoprawnymi, przesądził jednoznacznie, iż niedopuszczalne jest powierzanie obowiązków w warunkach właściwych stosunkowi pracy przy użyciu umów zlecenia lub innych umów cywilnoprawnych. Zasadą jest więc, że jeżeli praca wykonywana jest w warunkach podporządkowania, ciągłości i organizacyjnej integracji z działalnością jednostki publicznej, to musi być świadczona na podstawie umowy o pracę, niezależnie od nazwy nadanej umowie przez strony.</w:t>
      </w:r>
    </w:p>
    <w:p w14:paraId="0D693E5E"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Powyższe znajduje mocne oparcie w trwałym i konsekwentnym orzecznictwie Sądu Najwyższego, które wielokrotnie potwierdzało, że o charakterze stosunku prawnego decyduje nie nazwa zawartej umowy, lecz rzeczywisty sposób wykonywania pracy. W wyroku z dnia 11 września 2013 r., I PK 61/13, Sąd Najwyższy stwierdził, że wykonywanie pracy w sytuacji podporządkowania organizacyjnego, w ramach struktury jednostki, w sposób ciągły i powtarzalny, jest immanentną cechą stosunku pracy, nawet jeżeli strony określiły umowę jako cywilnoprawną. Podobny pogląd wyrażono w wyroku z 26 listopada 1998 r., I PKN 416/98, w którym podkreślono, że nie jest dopuszczalne zastępowanie stosunku pracy umową zlecenia nawet za zgodą pracownika, jeżeli faktyczne warunki jego pracy odpowiadają warunkom właściwym stosunkowi pracy. Również w orzeczeniu z 7 kwietnia 1999 r., I PKN 642/98, Sąd Najwyższy powtórzył zasadę, że o kwalifikacji zatrudnienia przesądza sposób wykonywania pracy, nie zaś wola stron wyrażona w nazwie umowy. W najnowszym orzecznictwie, między innymi w wyroku z 10 listopada 2021 r., III PSKP 34/21, zaakcentowano ponadto, że w strukturach sektora publicznego podporządkowanie służbowe ma charakter szczególnie silny i co do zasady wyklucza stosowanie umów cywilnoprawnych do realizacji zadań publicznych, które z natury wymagają stabilności, odpowiedzialności i realizacji obowiązków urzędowych.</w:t>
      </w:r>
    </w:p>
    <w:p w14:paraId="198A4D14"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Trafne jest również stanowisko przedstawione w doktrynie prawa pracy, zgodnie z którym nie jest dopuszczalne powierzanie zadań realizujących obowiązki ustawowe jednostek organizacyjnych samorządu terytorialnego na podstawie umów zlecenia, jeżeli zadania te mają charakter ciągły i stanowią integralny element funkcjonowania jednostki. Jak wskazują komentatorzy, m.in. A. Musiała, K.W. Baran oraz T. Liszcz, umowa zlecenia nie zapewnia niezbędnej stabilności świadczenia pracy, nie daje możliwości egzekwowania dyspozycyjności ani podporządkowania służbowego, a jej zastosowanie w sytuacjach, w których praca ma charakter pracowniczy, stanowi naruszenie zasad prawidłowej legislacji wewnętrznej oraz praw pracowniczych.</w:t>
      </w:r>
    </w:p>
    <w:p w14:paraId="69BBC331"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 xml:space="preserve">W odniesieniu do pracy koordynatorek pieczy zastępczej dodatkowo wskazać należy, że ich zadania wynikają z ustawy i stanowią część realizacji zobowiązań powiatu wobec dzieci i rodzin zastępczych. Odpowiedzialność powiatu za prawidłowe funkcjonowanie pieczy </w:t>
      </w:r>
      <w:r w:rsidRPr="00DD75B9">
        <w:rPr>
          <w:rFonts w:ascii="Arial" w:hAnsi="Arial" w:cs="Arial"/>
          <w:color w:val="000000"/>
          <w:sz w:val="22"/>
          <w:szCs w:val="22"/>
        </w:rPr>
        <w:lastRenderedPageBreak/>
        <w:t>zastępczej ma charakter publicznoprawny i wynika bezpośrednio z art. 19 ustawy o wspieraniu rodziny i systemie pieczy zastępczej. Powierzenie tych zadań na podstawie umów zlecenia, których istotą jest brak trwałego podporządkowania i brak obowiązku wykonywania poleceń pracodawcy, mogłoby prowadzić do osłabienia bezpieczeństwa dzieci, destabilizacji opieki oraz do naruszenia zasady dobra dziecka, wyrażonej w art. 72 Konstytucji RP. Komisja zauważa, że obowiązek ochrony dobra dziecka ma charakter nadrzędny względem wszelkich działań administracji publicznej, a każda decyzja dotycząca kadry koordynatorów musi być podejmowana przez pryzmat skutków dla najmłodszych oraz dla rodzin, które im służą.</w:t>
      </w:r>
    </w:p>
    <w:p w14:paraId="633C2137"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W świetle powyższej analizy Komisja uznaje, że planowana reorganizacja zatrudnienia w PCPR, zakładająca odejście od dotychczasowych półetatowych umów o pracę na rzecz wprowadzenia umów zlecenia, nie znajduje podstaw w obowiązujących przepisach prawa, pozostaje w sprzeczności z utrwalonym orzecznictwem, jest niedopuszczalna z punktu widzenia zasad prawa pracy, a ponadto zagraża prawidłowemu funkcjonowaniu systemu pieczy zastępczej i narusza obowiązki powiatu wynikające z ustawy i Konstytucji. Komisja stwierdza również, że brak przeprowadzenia konsultacji oraz brak pisemnego uzasadnienia planowanych zmian narusza standardy transparentności, rzetelności i staranności, które powinny charakteryzować działania jednostek organizacyjnych realizujących zadania publiczne.</w:t>
      </w:r>
    </w:p>
    <w:p w14:paraId="14D322D6" w14:textId="77777777" w:rsidR="003F3AA1" w:rsidRPr="00DD75B9" w:rsidRDefault="003F3AA1" w:rsidP="003F3AA1">
      <w:pPr>
        <w:pStyle w:val="NormalnyWeb"/>
        <w:spacing w:line="360" w:lineRule="auto"/>
        <w:jc w:val="both"/>
        <w:rPr>
          <w:rFonts w:ascii="Arial" w:hAnsi="Arial" w:cs="Arial"/>
          <w:color w:val="000000"/>
          <w:sz w:val="22"/>
          <w:szCs w:val="22"/>
        </w:rPr>
      </w:pPr>
      <w:r w:rsidRPr="00DD75B9">
        <w:rPr>
          <w:rFonts w:ascii="Arial" w:hAnsi="Arial" w:cs="Arial"/>
          <w:color w:val="000000"/>
          <w:sz w:val="22"/>
          <w:szCs w:val="22"/>
        </w:rPr>
        <w:t>W konsekwencji Komisja uznaje skargę za zasadną, wskazując na konieczność wstrzymania planowanej reorganizacji i przywrócenie dotychczasowych zasad zatrudnienia zmierzających do zapewnienia stabilności zatrudnienia koordynatorów pieczy zastępczej w formie odpowiadającej charakterowi ich pracy i obowiązkom powiatu wynikającym z przepisów prawa. Tylko w ten sposób możliwe jest zachowanie standardów ochrony praw pracowniczych, zagwarantowanie ciągłości wsparcia rodzin zastępczych oraz zapewnienie dzieciom należytej opieki zgodnie z zasadą ich dobra i bezpieczeństwa.</w:t>
      </w:r>
    </w:p>
    <w:p w14:paraId="02EC15C8" w14:textId="77777777" w:rsidR="003F3AA1" w:rsidRPr="00DD75B9" w:rsidRDefault="003F3AA1" w:rsidP="003F3AA1">
      <w:pPr>
        <w:spacing w:line="360" w:lineRule="auto"/>
        <w:jc w:val="both"/>
        <w:rPr>
          <w:rFonts w:ascii="Arial" w:hAnsi="Arial" w:cs="Arial"/>
        </w:rPr>
      </w:pPr>
    </w:p>
    <w:p w14:paraId="360C4950" w14:textId="77777777" w:rsidR="003F3AA1" w:rsidRPr="00DD75B9" w:rsidRDefault="003F3AA1" w:rsidP="003F3AA1">
      <w:pPr>
        <w:spacing w:line="360" w:lineRule="auto"/>
        <w:jc w:val="both"/>
        <w:rPr>
          <w:rFonts w:ascii="Arial" w:hAnsi="Arial" w:cs="Arial"/>
        </w:rPr>
      </w:pPr>
    </w:p>
    <w:p w14:paraId="106549A0" w14:textId="77777777" w:rsidR="003F3AA1" w:rsidRPr="00DD75B9" w:rsidRDefault="003F3AA1" w:rsidP="003F3AA1">
      <w:pPr>
        <w:spacing w:line="360" w:lineRule="auto"/>
        <w:jc w:val="both"/>
        <w:rPr>
          <w:rFonts w:ascii="Arial" w:hAnsi="Arial" w:cs="Arial"/>
        </w:rPr>
      </w:pPr>
    </w:p>
    <w:p w14:paraId="18C63527" w14:textId="77777777" w:rsidR="003F3AA1" w:rsidRPr="00DD75B9" w:rsidRDefault="003F3AA1" w:rsidP="003F3AA1">
      <w:pPr>
        <w:spacing w:line="360" w:lineRule="auto"/>
        <w:jc w:val="both"/>
        <w:rPr>
          <w:rFonts w:ascii="Arial" w:hAnsi="Arial" w:cs="Arial"/>
        </w:rPr>
      </w:pPr>
    </w:p>
    <w:p w14:paraId="06F1CB39" w14:textId="77777777" w:rsidR="003F3AA1" w:rsidRPr="00DD75B9" w:rsidRDefault="003F3AA1" w:rsidP="003F3AA1">
      <w:pPr>
        <w:spacing w:line="360" w:lineRule="auto"/>
        <w:jc w:val="both"/>
        <w:rPr>
          <w:rFonts w:ascii="Arial" w:hAnsi="Arial" w:cs="Arial"/>
        </w:rPr>
      </w:pPr>
    </w:p>
    <w:p w14:paraId="050E0A13" w14:textId="77777777" w:rsidR="003F3AA1" w:rsidRPr="00DD75B9" w:rsidRDefault="003F3AA1" w:rsidP="003F3AA1">
      <w:pPr>
        <w:spacing w:line="360" w:lineRule="auto"/>
        <w:jc w:val="both"/>
        <w:rPr>
          <w:rFonts w:ascii="Arial" w:hAnsi="Arial" w:cs="Arial"/>
        </w:rPr>
      </w:pPr>
    </w:p>
    <w:p w14:paraId="6C0EBFA6" w14:textId="77777777" w:rsidR="00BC6387" w:rsidRPr="00DD75B9" w:rsidRDefault="00BC6387">
      <w:pPr>
        <w:rPr>
          <w:rFonts w:ascii="Arial" w:hAnsi="Arial" w:cs="Arial"/>
        </w:rPr>
      </w:pPr>
    </w:p>
    <w:sectPr w:rsidR="00BC6387" w:rsidRPr="00DD75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5075" w14:textId="77777777" w:rsidR="00DD75B9" w:rsidRDefault="00DD75B9" w:rsidP="00DD75B9">
      <w:pPr>
        <w:spacing w:after="0" w:line="240" w:lineRule="auto"/>
      </w:pPr>
      <w:r>
        <w:separator/>
      </w:r>
    </w:p>
  </w:endnote>
  <w:endnote w:type="continuationSeparator" w:id="0">
    <w:p w14:paraId="440F59B8" w14:textId="77777777" w:rsidR="00DD75B9" w:rsidRDefault="00DD75B9" w:rsidP="00DD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68754"/>
      <w:docPartObj>
        <w:docPartGallery w:val="Page Numbers (Bottom of Page)"/>
        <w:docPartUnique/>
      </w:docPartObj>
    </w:sdtPr>
    <w:sdtContent>
      <w:p w14:paraId="269440E4" w14:textId="6DF2E56B" w:rsidR="00DD75B9" w:rsidRDefault="00DD75B9">
        <w:pPr>
          <w:pStyle w:val="Stopka"/>
          <w:jc w:val="center"/>
        </w:pPr>
        <w:r>
          <w:fldChar w:fldCharType="begin"/>
        </w:r>
        <w:r>
          <w:instrText>PAGE   \* MERGEFORMAT</w:instrText>
        </w:r>
        <w:r>
          <w:fldChar w:fldCharType="separate"/>
        </w:r>
        <w:r>
          <w:t>2</w:t>
        </w:r>
        <w:r>
          <w:fldChar w:fldCharType="end"/>
        </w:r>
      </w:p>
    </w:sdtContent>
  </w:sdt>
  <w:p w14:paraId="3E7CCAFD" w14:textId="77777777" w:rsidR="00DD75B9" w:rsidRDefault="00DD75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9844" w14:textId="77777777" w:rsidR="00DD75B9" w:rsidRDefault="00DD75B9" w:rsidP="00DD75B9">
      <w:pPr>
        <w:spacing w:after="0" w:line="240" w:lineRule="auto"/>
      </w:pPr>
      <w:r>
        <w:separator/>
      </w:r>
    </w:p>
  </w:footnote>
  <w:footnote w:type="continuationSeparator" w:id="0">
    <w:p w14:paraId="71ACF47A" w14:textId="77777777" w:rsidR="00DD75B9" w:rsidRDefault="00DD75B9" w:rsidP="00DD7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A1"/>
    <w:rsid w:val="00101E1E"/>
    <w:rsid w:val="00116435"/>
    <w:rsid w:val="00272061"/>
    <w:rsid w:val="002830BF"/>
    <w:rsid w:val="002B606B"/>
    <w:rsid w:val="002F6AEF"/>
    <w:rsid w:val="003020E9"/>
    <w:rsid w:val="003F3AA1"/>
    <w:rsid w:val="005F54D7"/>
    <w:rsid w:val="00720ECF"/>
    <w:rsid w:val="008A3821"/>
    <w:rsid w:val="009E794A"/>
    <w:rsid w:val="00A41EEE"/>
    <w:rsid w:val="00AC76F2"/>
    <w:rsid w:val="00B42C0F"/>
    <w:rsid w:val="00B67395"/>
    <w:rsid w:val="00BC6387"/>
    <w:rsid w:val="00BC74CF"/>
    <w:rsid w:val="00CF6391"/>
    <w:rsid w:val="00CF6EEE"/>
    <w:rsid w:val="00D27058"/>
    <w:rsid w:val="00DD75B9"/>
    <w:rsid w:val="00E81E22"/>
    <w:rsid w:val="00F34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2906"/>
  <w15:chartTrackingRefBased/>
  <w15:docId w15:val="{D675BF44-5FD1-49CC-BF18-1E88C6EB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AA1"/>
  </w:style>
  <w:style w:type="paragraph" w:styleId="Nagwek1">
    <w:name w:val="heading 1"/>
    <w:basedOn w:val="Normalny"/>
    <w:next w:val="Normalny"/>
    <w:link w:val="Nagwek1Znak"/>
    <w:uiPriority w:val="9"/>
    <w:qFormat/>
    <w:rsid w:val="003F3A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3A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3AA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3AA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3AA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3A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3A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3A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3AA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3AA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3AA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3AA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3AA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3AA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3A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3A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3A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3AA1"/>
    <w:rPr>
      <w:rFonts w:eastAsiaTheme="majorEastAsia" w:cstheme="majorBidi"/>
      <w:color w:val="272727" w:themeColor="text1" w:themeTint="D8"/>
    </w:rPr>
  </w:style>
  <w:style w:type="paragraph" w:styleId="Tytu">
    <w:name w:val="Title"/>
    <w:basedOn w:val="Normalny"/>
    <w:next w:val="Normalny"/>
    <w:link w:val="TytuZnak"/>
    <w:uiPriority w:val="10"/>
    <w:qFormat/>
    <w:rsid w:val="003F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3A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3A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3A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3AA1"/>
    <w:pPr>
      <w:spacing w:before="160"/>
      <w:jc w:val="center"/>
    </w:pPr>
    <w:rPr>
      <w:i/>
      <w:iCs/>
      <w:color w:val="404040" w:themeColor="text1" w:themeTint="BF"/>
    </w:rPr>
  </w:style>
  <w:style w:type="character" w:customStyle="1" w:styleId="CytatZnak">
    <w:name w:val="Cytat Znak"/>
    <w:basedOn w:val="Domylnaczcionkaakapitu"/>
    <w:link w:val="Cytat"/>
    <w:uiPriority w:val="29"/>
    <w:rsid w:val="003F3AA1"/>
    <w:rPr>
      <w:i/>
      <w:iCs/>
      <w:color w:val="404040" w:themeColor="text1" w:themeTint="BF"/>
    </w:rPr>
  </w:style>
  <w:style w:type="paragraph" w:styleId="Akapitzlist">
    <w:name w:val="List Paragraph"/>
    <w:basedOn w:val="Normalny"/>
    <w:uiPriority w:val="34"/>
    <w:qFormat/>
    <w:rsid w:val="003F3AA1"/>
    <w:pPr>
      <w:ind w:left="720"/>
      <w:contextualSpacing/>
    </w:pPr>
  </w:style>
  <w:style w:type="character" w:styleId="Wyrnienieintensywne">
    <w:name w:val="Intense Emphasis"/>
    <w:basedOn w:val="Domylnaczcionkaakapitu"/>
    <w:uiPriority w:val="21"/>
    <w:qFormat/>
    <w:rsid w:val="003F3AA1"/>
    <w:rPr>
      <w:i/>
      <w:iCs/>
      <w:color w:val="2F5496" w:themeColor="accent1" w:themeShade="BF"/>
    </w:rPr>
  </w:style>
  <w:style w:type="paragraph" w:styleId="Cytatintensywny">
    <w:name w:val="Intense Quote"/>
    <w:basedOn w:val="Normalny"/>
    <w:next w:val="Normalny"/>
    <w:link w:val="CytatintensywnyZnak"/>
    <w:uiPriority w:val="30"/>
    <w:qFormat/>
    <w:rsid w:val="003F3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3AA1"/>
    <w:rPr>
      <w:i/>
      <w:iCs/>
      <w:color w:val="2F5496" w:themeColor="accent1" w:themeShade="BF"/>
    </w:rPr>
  </w:style>
  <w:style w:type="character" w:styleId="Odwoanieintensywne">
    <w:name w:val="Intense Reference"/>
    <w:basedOn w:val="Domylnaczcionkaakapitu"/>
    <w:uiPriority w:val="32"/>
    <w:qFormat/>
    <w:rsid w:val="003F3AA1"/>
    <w:rPr>
      <w:b/>
      <w:bCs/>
      <w:smallCaps/>
      <w:color w:val="2F5496" w:themeColor="accent1" w:themeShade="BF"/>
      <w:spacing w:val="5"/>
    </w:rPr>
  </w:style>
  <w:style w:type="paragraph" w:styleId="NormalnyWeb">
    <w:name w:val="Normal (Web)"/>
    <w:basedOn w:val="Normalny"/>
    <w:uiPriority w:val="99"/>
    <w:semiHidden/>
    <w:unhideWhenUsed/>
    <w:rsid w:val="003F3AA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DD75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75B9"/>
  </w:style>
  <w:style w:type="paragraph" w:styleId="Stopka">
    <w:name w:val="footer"/>
    <w:basedOn w:val="Normalny"/>
    <w:link w:val="StopkaZnak"/>
    <w:uiPriority w:val="99"/>
    <w:unhideWhenUsed/>
    <w:rsid w:val="00DD75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4A89-5EDB-4F41-8200-8AB8AD63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1934</Words>
  <Characters>11606</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Pawlowska</dc:creator>
  <cp:keywords/>
  <dc:description/>
  <cp:lastModifiedBy>Dorota Szewczyk</cp:lastModifiedBy>
  <cp:revision>6</cp:revision>
  <cp:lastPrinted>2025-11-25T06:42:00Z</cp:lastPrinted>
  <dcterms:created xsi:type="dcterms:W3CDTF">2025-11-24T11:33:00Z</dcterms:created>
  <dcterms:modified xsi:type="dcterms:W3CDTF">2025-11-26T07:50:00Z</dcterms:modified>
</cp:coreProperties>
</file>